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C71BFB">
        <w:rPr>
          <w:rFonts w:ascii="Times New Roman" w:hAnsi="Times New Roman"/>
          <w:b/>
          <w:bCs/>
          <w:sz w:val="24"/>
          <w:szCs w:val="24"/>
          <w:lang w:val="uk-UA"/>
        </w:rPr>
        <w:t>0931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C71BFB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C71BFB">
        <w:rPr>
          <w:rFonts w:ascii="Times New Roman" w:hAnsi="Times New Roman"/>
          <w:b/>
          <w:bCs/>
          <w:sz w:val="24"/>
          <w:szCs w:val="24"/>
          <w:lang w:val="uk-UA"/>
        </w:rPr>
        <w:t>Електрична енергія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1BFB">
        <w:rPr>
          <w:rFonts w:ascii="Times New Roman" w:hAnsi="Times New Roman"/>
          <w:sz w:val="24"/>
          <w:szCs w:val="24"/>
          <w:lang w:val="uk-UA"/>
        </w:rPr>
        <w:t>Електрична енергія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C71BFB">
        <w:rPr>
          <w:rFonts w:ascii="Times New Roman" w:hAnsi="Times New Roman"/>
          <w:sz w:val="24"/>
          <w:szCs w:val="24"/>
          <w:lang w:val="uk-UA"/>
        </w:rPr>
        <w:t>0931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C71BFB">
        <w:rPr>
          <w:rFonts w:ascii="Times New Roman" w:hAnsi="Times New Roman"/>
          <w:sz w:val="24"/>
          <w:szCs w:val="24"/>
          <w:lang w:val="uk-UA"/>
        </w:rPr>
        <w:t>5</w:t>
      </w:r>
      <w:r w:rsidRPr="00C82489">
        <w:rPr>
          <w:rFonts w:ascii="Times New Roman" w:hAnsi="Times New Roman"/>
          <w:sz w:val="24"/>
          <w:szCs w:val="24"/>
          <w:lang w:val="uk-UA"/>
        </w:rPr>
        <w:t>):</w:t>
      </w:r>
      <w:r w:rsidR="00C71BFB">
        <w:rPr>
          <w:rFonts w:ascii="Times New Roman" w:hAnsi="Times New Roman"/>
          <w:sz w:val="24"/>
          <w:szCs w:val="24"/>
          <w:lang w:val="uk-UA"/>
        </w:rPr>
        <w:t xml:space="preserve"> електрична енергія з розподілом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71BFB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C71BF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71BFB" w:rsidRPr="00C71BFB">
        <w:rPr>
          <w:rFonts w:ascii="Times New Roman" w:hAnsi="Times New Roman"/>
          <w:bCs/>
          <w:sz w:val="24"/>
          <w:szCs w:val="24"/>
          <w:lang w:val="uk-UA"/>
        </w:rPr>
        <w:t>відкриті торги з особливостями</w:t>
      </w:r>
      <w:r w:rsidRPr="00C71BFB">
        <w:rPr>
          <w:rFonts w:ascii="Times New Roman" w:hAnsi="Times New Roman"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UA-2022-1</w:t>
      </w:r>
      <w:r w:rsidR="000D211D">
        <w:rPr>
          <w:rFonts w:ascii="Times New Roman" w:hAnsi="Times New Roman"/>
          <w:sz w:val="24"/>
          <w:szCs w:val="24"/>
          <w:lang w:val="uk-UA"/>
        </w:rPr>
        <w:t>1</w:t>
      </w:r>
      <w:r w:rsidR="00C71BFB">
        <w:rPr>
          <w:rFonts w:ascii="Times New Roman" w:hAnsi="Times New Roman"/>
          <w:sz w:val="24"/>
          <w:szCs w:val="24"/>
          <w:lang w:val="uk-UA"/>
        </w:rPr>
        <w:t>-16-001377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0D211D" w:rsidRDefault="00164AD6" w:rsidP="00164A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71BFB">
        <w:rPr>
          <w:rFonts w:ascii="Times New Roman" w:hAnsi="Times New Roman"/>
          <w:bCs/>
          <w:sz w:val="24"/>
          <w:szCs w:val="24"/>
          <w:lang w:val="uk-UA"/>
        </w:rPr>
        <w:t>8245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</w:t>
      </w:r>
      <w:r w:rsidR="00C71BFB">
        <w:rPr>
          <w:rFonts w:ascii="Times New Roman" w:hAnsi="Times New Roman"/>
          <w:bCs/>
          <w:sz w:val="24"/>
          <w:szCs w:val="24"/>
          <w:lang w:val="uk-UA"/>
        </w:rPr>
        <w:t>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0D658F" w:rsidRPr="000D658F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 електричної енергії протягом календарного року (бюджетний період) 2021 рік. Замовником здійснено розрахунки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C71BFB" w:rsidRPr="000D658F">
        <w:rPr>
          <w:rFonts w:ascii="Times New Roman" w:hAnsi="Times New Roman"/>
          <w:sz w:val="24"/>
          <w:szCs w:val="24"/>
          <w:lang w:val="uk-UA"/>
        </w:rPr>
        <w:t xml:space="preserve"> із змінами.  До уваги взяті </w:t>
      </w:r>
      <w:proofErr w:type="spellStart"/>
      <w:r w:rsidR="00C71BFB" w:rsidRPr="000D658F">
        <w:rPr>
          <w:rFonts w:ascii="Times New Roman" w:hAnsi="Times New Roman"/>
          <w:sz w:val="24"/>
          <w:szCs w:val="24"/>
          <w:lang w:val="uk-UA"/>
        </w:rPr>
        <w:t>прайс-листи</w:t>
      </w:r>
      <w:proofErr w:type="spellEnd"/>
      <w:r w:rsidR="00C71BFB" w:rsidRPr="000D658F">
        <w:rPr>
          <w:rFonts w:ascii="Times New Roman" w:hAnsi="Times New Roman"/>
          <w:sz w:val="24"/>
          <w:szCs w:val="24"/>
          <w:lang w:val="uk-UA"/>
        </w:rPr>
        <w:t xml:space="preserve"> на офіційних сайтах постачальників, </w:t>
      </w:r>
      <w:proofErr w:type="spellStart"/>
      <w:r w:rsidR="00C71BFB" w:rsidRPr="000D658F">
        <w:rPr>
          <w:rFonts w:ascii="Times New Roman" w:hAnsi="Times New Roman"/>
          <w:sz w:val="24"/>
          <w:szCs w:val="24"/>
          <w:lang w:val="uk-UA"/>
        </w:rPr>
        <w:t>інтернет</w:t>
      </w:r>
      <w:proofErr w:type="spellEnd"/>
      <w:r w:rsidR="00C71BFB" w:rsidRPr="000D658F">
        <w:rPr>
          <w:rFonts w:ascii="Times New Roman" w:hAnsi="Times New Roman"/>
          <w:sz w:val="24"/>
          <w:szCs w:val="24"/>
          <w:lang w:val="uk-UA"/>
        </w:rPr>
        <w:t xml:space="preserve"> ресурси. Система </w:t>
      </w:r>
      <w:proofErr w:type="spellStart"/>
      <w:r w:rsidR="00C71BFB" w:rsidRPr="000D658F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="00C71BFB" w:rsidRPr="000D658F">
        <w:rPr>
          <w:rFonts w:ascii="Times New Roman" w:hAnsi="Times New Roman"/>
          <w:sz w:val="24"/>
          <w:szCs w:val="24"/>
          <w:lang w:val="uk-UA"/>
        </w:rPr>
        <w:t xml:space="preserve"> зробила відкритим доступ до публічних закупівель, що дозволяє аналізувати</w:t>
      </w:r>
      <w:r w:rsidR="00C71BFB" w:rsidRPr="00C71BFB">
        <w:rPr>
          <w:rFonts w:ascii="Times New Roman" w:hAnsi="Times New Roman"/>
          <w:sz w:val="24"/>
          <w:szCs w:val="24"/>
          <w:lang w:val="uk-UA"/>
        </w:rPr>
        <w:t xml:space="preserve"> реальні угоди купівлі-продажу інших Замовників. Для визначення очікуваної вартості використовували формулу середнього арифметичного значення. Враховано зазначену ціну РДН ОЕС України станом на </w:t>
      </w:r>
      <w:r w:rsidR="000D658F">
        <w:rPr>
          <w:rFonts w:ascii="Times New Roman" w:hAnsi="Times New Roman"/>
          <w:sz w:val="24"/>
          <w:szCs w:val="24"/>
          <w:lang w:val="uk-UA"/>
        </w:rPr>
        <w:t>01</w:t>
      </w:r>
      <w:r w:rsidR="00C71BFB" w:rsidRPr="00C71BFB">
        <w:rPr>
          <w:rFonts w:ascii="Times New Roman" w:hAnsi="Times New Roman"/>
          <w:sz w:val="24"/>
          <w:szCs w:val="24"/>
          <w:lang w:val="uk-UA"/>
        </w:rPr>
        <w:t>.11.2022, тариф на передачу, тариф розподілу, можливе підняття ціни до 20%, і також враховано 20% ПДВ.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0D658F">
        <w:rPr>
          <w:rFonts w:ascii="Times New Roman" w:hAnsi="Times New Roman"/>
          <w:bCs/>
          <w:sz w:val="24"/>
          <w:szCs w:val="24"/>
          <w:lang w:val="uk-UA" w:eastAsia="uk-UA"/>
        </w:rPr>
        <w:t>824</w:t>
      </w:r>
      <w:r w:rsidR="003D7251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0D658F">
        <w:rPr>
          <w:rFonts w:ascii="Times New Roman" w:hAnsi="Times New Roman"/>
          <w:bCs/>
          <w:sz w:val="24"/>
          <w:szCs w:val="24"/>
          <w:lang w:val="uk-UA" w:eastAsia="uk-UA"/>
        </w:rPr>
        <w:t>500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0D658F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7251">
        <w:rPr>
          <w:rFonts w:ascii="Times New Roman" w:hAnsi="Times New Roman"/>
          <w:bCs/>
          <w:sz w:val="24"/>
          <w:szCs w:val="24"/>
          <w:lang w:val="uk-UA" w:eastAsia="uk-UA"/>
        </w:rPr>
        <w:t>(вісімсот двадцять чотири тисячі п’ятсот гривень 00 копійок</w:t>
      </w:r>
      <w:bookmarkStart w:id="0" w:name="_GoBack"/>
      <w:bookmarkEnd w:id="0"/>
      <w:r w:rsidR="003D7251">
        <w:rPr>
          <w:rFonts w:ascii="Times New Roman" w:hAnsi="Times New Roman"/>
          <w:bCs/>
          <w:sz w:val="24"/>
          <w:szCs w:val="24"/>
          <w:lang w:val="uk-UA" w:eastAsia="uk-UA"/>
        </w:rPr>
        <w:t xml:space="preserve">) </w:t>
      </w:r>
      <w:r w:rsidR="000D658F" w:rsidRPr="000D658F">
        <w:rPr>
          <w:rFonts w:ascii="Times New Roman" w:hAnsi="Times New Roman"/>
          <w:bCs/>
          <w:sz w:val="24"/>
          <w:szCs w:val="24"/>
          <w:lang w:val="uk-UA" w:eastAsia="uk-UA"/>
        </w:rPr>
        <w:t>закупівля проводиться на очікувану вартість</w:t>
      </w:r>
      <w:r w:rsidR="000D658F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0D658F" w:rsidRPr="000D658F" w:rsidRDefault="000D658F" w:rsidP="000D658F">
      <w:pPr>
        <w:jc w:val="both"/>
        <w:rPr>
          <w:rFonts w:ascii="Times New Roman" w:hAnsi="Times New Roman"/>
          <w:lang w:val="uk-UA"/>
        </w:rPr>
      </w:pPr>
      <w:r w:rsidRPr="000D658F">
        <w:rPr>
          <w:rFonts w:ascii="Times New Roman" w:hAnsi="Times New Roman"/>
          <w:lang w:val="uk-UA"/>
        </w:rPr>
        <w:t xml:space="preserve">Якісні та технічні характеристики предмету закупівлі визначені з урахуванням реальних потреб закладів замовника. Замовник здійснює закупівлю даного виду товар, оскільки він за своїми якісними та технічними характеристиками найбільше відповідають потребам та вимогам замовника.  </w:t>
      </w:r>
    </w:p>
    <w:p w:rsidR="000D658F" w:rsidRPr="000D658F" w:rsidRDefault="000D658F" w:rsidP="000D65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D658F">
        <w:rPr>
          <w:rFonts w:ascii="Times New Roman" w:hAnsi="Times New Roman"/>
          <w:lang w:val="uk-UA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0D658F" w:rsidRPr="000D658F" w:rsidRDefault="000D658F" w:rsidP="000D658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0D658F">
        <w:rPr>
          <w:rFonts w:ascii="Times New Roman" w:hAnsi="Times New Roman"/>
          <w:b/>
          <w:lang w:val="uk-UA"/>
        </w:rPr>
        <w:t>ІНФОРМАЦІЯ</w:t>
      </w:r>
    </w:p>
    <w:p w:rsidR="000D658F" w:rsidRPr="000D658F" w:rsidRDefault="000D658F" w:rsidP="000D658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0D658F">
        <w:rPr>
          <w:rFonts w:ascii="Times New Roman" w:hAnsi="Times New Roman"/>
          <w:b/>
          <w:lang w:val="uk-UA"/>
        </w:rPr>
        <w:t>про необхідні технічні, якісні та кількісні характеристики  предмета закупівлі</w:t>
      </w:r>
    </w:p>
    <w:p w:rsidR="00A66C59" w:rsidRPr="000D658F" w:rsidRDefault="000D658F" w:rsidP="000D658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0D658F">
        <w:rPr>
          <w:rFonts w:ascii="Times New Roman" w:hAnsi="Times New Roman"/>
          <w:b/>
          <w:lang w:val="uk-UA"/>
        </w:rPr>
        <w:t>(технічне завдання)</w:t>
      </w:r>
    </w:p>
    <w:p w:rsidR="000D658F" w:rsidRPr="000D658F" w:rsidRDefault="000D658F" w:rsidP="000D658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  <w:lang w:val="uk-UA"/>
        </w:rPr>
      </w:pPr>
      <w:r w:rsidRPr="000D658F">
        <w:rPr>
          <w:rFonts w:ascii="Times New Roman" w:hAnsi="Times New Roman"/>
          <w:sz w:val="24"/>
          <w:szCs w:val="24"/>
          <w:u w:val="single"/>
          <w:lang w:val="uk-UA"/>
        </w:rPr>
        <w:t>Код ДК 021:2015 – 09310000-5 «Електрична енергія»</w:t>
      </w:r>
    </w:p>
    <w:p w:rsidR="000D658F" w:rsidRPr="000D658F" w:rsidRDefault="000D658F" w:rsidP="000D658F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>Кількість</w:t>
      </w:r>
      <w:r w:rsidRPr="000D658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 117785,7</w:t>
      </w: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 xml:space="preserve"> кВт/год.</w:t>
      </w:r>
    </w:p>
    <w:p w:rsidR="000D658F" w:rsidRPr="000D658F" w:rsidRDefault="000D658F" w:rsidP="000D658F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>Строк поставки</w:t>
      </w:r>
      <w:r w:rsidRPr="000D658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0D658F">
        <w:rPr>
          <w:rFonts w:ascii="Times New Roman" w:hAnsi="Times New Roman"/>
          <w:bCs/>
          <w:color w:val="000000"/>
          <w:sz w:val="24"/>
          <w:szCs w:val="24"/>
          <w:lang w:val="uk-UA"/>
        </w:rPr>
        <w:t>–</w:t>
      </w:r>
      <w:r w:rsidRPr="000D658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з 01 січня 2023 р. по 31 грудня 2023р. </w:t>
      </w:r>
    </w:p>
    <w:p w:rsidR="000D658F" w:rsidRPr="000D658F" w:rsidRDefault="000D658F" w:rsidP="000D658F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>Перелік операторів системи розподілу, до яких приєднані об’єкти Замовника:</w:t>
      </w:r>
    </w:p>
    <w:p w:rsidR="000D658F" w:rsidRPr="000D658F" w:rsidRDefault="000D658F" w:rsidP="000D658F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_____________________________________________________________________________.</w:t>
      </w:r>
    </w:p>
    <w:p w:rsidR="000D658F" w:rsidRPr="000D658F" w:rsidRDefault="000D658F" w:rsidP="000D658F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 xml:space="preserve">Оплата послуг з розподілу електричної енергії здійснюється замовником через постачальника відповідному оператору системи розподілу. </w:t>
      </w:r>
      <w:r w:rsidRPr="000D658F">
        <w:rPr>
          <w:rFonts w:ascii="Times New Roman" w:hAnsi="Times New Roman"/>
          <w:sz w:val="24"/>
          <w:szCs w:val="24"/>
          <w:lang w:val="uk-UA"/>
        </w:rPr>
        <w:t>Також не є предметом даної закупівлі послуги з забезпечення  перетікань реактивної електричної енергії.</w:t>
      </w:r>
    </w:p>
    <w:p w:rsidR="000D658F" w:rsidRPr="000D658F" w:rsidRDefault="000D658F" w:rsidP="000D658F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 xml:space="preserve">Оплата послуг з передачі електричної енергії - здійснюється </w:t>
      </w:r>
      <w:proofErr w:type="spellStart"/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>електропостачальником</w:t>
      </w:r>
      <w:proofErr w:type="spellEnd"/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>, вартість послуг з передачі електричної енергії включається до вартості товару.</w:t>
      </w:r>
    </w:p>
    <w:p w:rsidR="000D658F" w:rsidRPr="000D658F" w:rsidRDefault="000D658F" w:rsidP="000D658F">
      <w:pPr>
        <w:ind w:firstLine="426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>Лічильники на об’єктах споживання електричної енергії відноситься до площадок вимірювання групи «Б».</w:t>
      </w:r>
      <w:r w:rsidRPr="000D658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467"/>
        <w:gridCol w:w="2826"/>
        <w:gridCol w:w="2535"/>
      </w:tblGrid>
      <w:tr w:rsidR="000D658F" w:rsidRPr="000D658F" w:rsidTr="000D658F">
        <w:trPr>
          <w:trHeight w:val="80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b/>
                <w:bCs/>
                <w:color w:val="000000"/>
                <w:lang w:val="uk-UA"/>
              </w:rPr>
              <w:t>№ п/</w:t>
            </w:r>
            <w:proofErr w:type="spellStart"/>
            <w:r w:rsidRPr="000D658F">
              <w:rPr>
                <w:rFonts w:ascii="Times New Roman" w:hAnsi="Times New Roman"/>
                <w:b/>
                <w:bCs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Адреса об'єкта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b/>
                <w:bCs/>
                <w:color w:val="000000"/>
                <w:lang w:val="uk-UA"/>
              </w:rPr>
              <w:t>Вид об'єкта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D658F">
              <w:rPr>
                <w:rFonts w:ascii="Times New Roman" w:hAnsi="Times New Roman"/>
                <w:b/>
                <w:bCs/>
                <w:color w:val="000000"/>
                <w:lang w:val="uk-UA"/>
              </w:rPr>
              <w:t>ЕІС-код</w:t>
            </w:r>
            <w:proofErr w:type="spellEnd"/>
            <w:r w:rsidRPr="000D658F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точки комерційного обліку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8F" w:rsidRPr="000D658F" w:rsidRDefault="000D6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Озеряни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Шевченка, 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Садочок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62Z6625461439840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8F" w:rsidRPr="000D658F" w:rsidRDefault="000D6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Варковичі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Шкільна,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Садочок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62Z1552461449625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8F" w:rsidRPr="000D658F" w:rsidRDefault="000D6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с. Квітневе, Шкільна, 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Школа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62Z7579844999270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8F" w:rsidRPr="000D658F" w:rsidRDefault="000D6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Миру,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8F" w:rsidRPr="000D658F" w:rsidRDefault="000D658F" w:rsidP="00EE23F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62Z703347386821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8F" w:rsidRPr="000D658F" w:rsidRDefault="000D6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Варковичі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Шкільна, 1/2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Школа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62Z9614709184279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Варковичі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Шкільна 1/3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Школа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62Z3677083766163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Миру, 59/1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Школа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62Z5489793479268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Жорнів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Центральна 14/1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Школа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62Z0325777056506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Миру, 59/2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Школа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62Z6256959580370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Жорнів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Центральна, 14/2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Школа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62Z5805283166991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Дядьковичі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Гагаріна,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Клуб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62Z6055491570351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Копани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8F" w:rsidRPr="000D658F" w:rsidRDefault="000D658F" w:rsidP="00EE23F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62Z7729270669459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Озеряни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Шевченка, 71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Адміністративна будівля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62Z0851044115505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Копани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-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62Z7378650014417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Озеряни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Шевченка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62Z6466437081128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с. Квітневе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62Z0714982840085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Варковичі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Травнева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Озеряни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Торгова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62Z9982596060300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Варковичі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Шевченка 8А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Клуб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62Z0703463570550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20.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с. Крилів, Хмельницького, 46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Клуб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62Z7812961903000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Миру, 1.59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Клуб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62Z2611508117126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Жорнів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1 травня, 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Клуб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62Z0374835464619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Дядьковичі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Гагаріна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62Z1723718101451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lastRenderedPageBreak/>
              <w:t>24.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Озеряни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Шевченка, 46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Клуб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62Z0576313250059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25.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с. Квітневе, Шкільна, 39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Клуб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62Z8346526463779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26.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Копани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1 травня, 46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Клуб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62Z8367984039653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27.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Олибів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Шевченка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62Z1012573430903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28.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Миру-1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62Z9481680146268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29.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Млинівська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Будівля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62Z2680742927833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Жорнів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1 Травня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62Z6570560519687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Жорнів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Центральне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62Z7692218181964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Млинівська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62Z2986626070529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Млинівська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17А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Адміністративна будівля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62Z0617112410086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Загребля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62Z3821368555131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Дядьковичі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Набережна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62Z354243173973Х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Тиха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62Z409868413111D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Сатиїв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Тиха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62Z367619167227М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Варковичі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Шевченка, 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Адміністративна будівля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62Z9237467608109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39.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с. Зелений Гай, Хліборобська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62Z3415289218004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40.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с. Крилів, І. Богуна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62Z4330068789589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41.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Варковичі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Загребля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62Z6150153270984</w:t>
            </w:r>
          </w:p>
        </w:tc>
      </w:tr>
      <w:tr w:rsidR="000D658F" w:rsidRPr="000D658F" w:rsidTr="000D658F">
        <w:trPr>
          <w:trHeight w:val="5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42.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Варковичі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>, Шевченка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62Z5013992368636</w:t>
            </w:r>
          </w:p>
        </w:tc>
      </w:tr>
      <w:tr w:rsidR="000D658F" w:rsidRPr="000D658F" w:rsidTr="000D658F">
        <w:trPr>
          <w:trHeight w:val="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43.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0D658F">
              <w:rPr>
                <w:rFonts w:ascii="Times New Roman" w:hAnsi="Times New Roman"/>
                <w:lang w:val="uk-UA"/>
              </w:rPr>
              <w:t>Варковичі</w:t>
            </w:r>
            <w:proofErr w:type="spellEnd"/>
            <w:r w:rsidRPr="000D658F">
              <w:rPr>
                <w:rFonts w:ascii="Times New Roman" w:hAnsi="Times New Roman"/>
                <w:lang w:val="uk-UA"/>
              </w:rPr>
              <w:t xml:space="preserve"> -,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62Z8231763029567</w:t>
            </w:r>
          </w:p>
        </w:tc>
      </w:tr>
      <w:tr w:rsidR="000D658F" w:rsidRPr="000D658F" w:rsidTr="000D658F">
        <w:trPr>
          <w:trHeight w:val="2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ind w:left="-142" w:right="-138" w:firstLine="18"/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44.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tabs>
                <w:tab w:val="left" w:pos="711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с. Квітневе, 17 Вересня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0D658F">
              <w:rPr>
                <w:rFonts w:ascii="Times New Roman" w:hAnsi="Times New Roman"/>
                <w:bCs/>
                <w:iCs/>
                <w:color w:val="000000"/>
                <w:lang w:val="uk-UA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8F" w:rsidRPr="000D658F" w:rsidRDefault="000D658F">
            <w:pPr>
              <w:jc w:val="both"/>
              <w:rPr>
                <w:rFonts w:ascii="Times New Roman" w:hAnsi="Times New Roman"/>
                <w:lang w:val="uk-UA"/>
              </w:rPr>
            </w:pPr>
            <w:r w:rsidRPr="000D658F">
              <w:rPr>
                <w:rFonts w:ascii="Times New Roman" w:hAnsi="Times New Roman"/>
                <w:lang w:val="uk-UA"/>
              </w:rPr>
              <w:t>62Z</w:t>
            </w:r>
          </w:p>
        </w:tc>
      </w:tr>
    </w:tbl>
    <w:p w:rsidR="000D658F" w:rsidRPr="000D658F" w:rsidRDefault="000D658F" w:rsidP="000D658F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0D658F" w:rsidRPr="000D658F" w:rsidRDefault="000D658F" w:rsidP="000D658F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658F">
        <w:rPr>
          <w:rFonts w:ascii="Times New Roman" w:hAnsi="Times New Roman"/>
          <w:sz w:val="24"/>
          <w:szCs w:val="24"/>
          <w:lang w:val="uk-UA" w:eastAsia="ar-SA"/>
        </w:rPr>
        <w:t>1.</w:t>
      </w:r>
      <w:r w:rsidRPr="000D658F">
        <w:rPr>
          <w:rFonts w:ascii="Times New Roman" w:hAnsi="Times New Roman"/>
          <w:b/>
          <w:sz w:val="24"/>
          <w:szCs w:val="24"/>
          <w:lang w:val="uk-UA"/>
        </w:rPr>
        <w:t xml:space="preserve"> Вимоги до предмету закупівлі:</w:t>
      </w:r>
    </w:p>
    <w:p w:rsidR="000D658F" w:rsidRPr="000D658F" w:rsidRDefault="000D658F" w:rsidP="000D658F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658F">
        <w:rPr>
          <w:rFonts w:ascii="Times New Roman" w:hAnsi="Times New Roman"/>
          <w:sz w:val="24"/>
          <w:szCs w:val="24"/>
          <w:lang w:val="uk-UA" w:eastAsia="ar-SA"/>
        </w:rPr>
        <w:t xml:space="preserve">Відносини, що виникають між учасниками ринку під час здійснення купівлі-продажу електричної енергії та/або допоміжних послуг, передачі, постачання електричної енергії споживачам регулюються наступними документами: </w:t>
      </w:r>
    </w:p>
    <w:p w:rsidR="000D658F" w:rsidRPr="000D658F" w:rsidRDefault="000D658F" w:rsidP="000D658F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658F">
        <w:rPr>
          <w:rFonts w:ascii="Times New Roman" w:hAnsi="Times New Roman"/>
          <w:sz w:val="24"/>
          <w:szCs w:val="24"/>
          <w:lang w:val="uk-UA" w:eastAsia="ar-SA"/>
        </w:rPr>
        <w:t xml:space="preserve">Закон України «Про публічні закупівлі» від 25.12.2015 № 922-VIII; </w:t>
      </w:r>
    </w:p>
    <w:p w:rsidR="000D658F" w:rsidRPr="000D658F" w:rsidRDefault="000D658F" w:rsidP="000D658F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658F">
        <w:rPr>
          <w:rFonts w:ascii="Times New Roman" w:hAnsi="Times New Roman"/>
          <w:sz w:val="24"/>
          <w:szCs w:val="24"/>
          <w:lang w:val="uk-UA" w:eastAsia="ar-SA"/>
        </w:rPr>
        <w:t>Закон України «Про ринок електричної енергії» від 13.04.2017 №2019-VIII;</w:t>
      </w:r>
    </w:p>
    <w:p w:rsidR="000D658F" w:rsidRPr="000D658F" w:rsidRDefault="000D658F" w:rsidP="000D658F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 w:eastAsia="ar-SA"/>
        </w:rPr>
        <w:t>Постанова Національної комісії, що здійснює регулювання у сферах енергетики та комунальних послуг  від 14.03.2018 № 312 «Про затвердження Правил роздрібного ринку електричної енергії»;</w:t>
      </w:r>
    </w:p>
    <w:p w:rsidR="000D658F" w:rsidRPr="000D658F" w:rsidRDefault="000D658F" w:rsidP="000D658F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Постанова Національної комісії, що здійснює державне регулювання у сферах енергетики та комунальних послуг  від 14.03.2018 № 310 «Про затвердження Кодексу систем розподілу»;</w:t>
      </w:r>
    </w:p>
    <w:p w:rsidR="000D658F" w:rsidRPr="000D658F" w:rsidRDefault="000D658F" w:rsidP="000D658F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Постанова Національної комісії, що здійснює державне регулювання у сферах енергетики та комунальних послуг  від 14.03.2018 № 309 «Про затвердження Кодексу системи передачі»;</w:t>
      </w:r>
    </w:p>
    <w:p w:rsidR="000D658F" w:rsidRPr="000D658F" w:rsidRDefault="000D658F" w:rsidP="000D658F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lastRenderedPageBreak/>
        <w:t>Постанова Національної комісії, що здійснює державне регулювання у сферах енергетики та комунальних послуг  від 14.03.2018 № 311 «Про затвердження Кодексу к</w:t>
      </w:r>
      <w:r w:rsidRPr="000D658F">
        <w:rPr>
          <w:rStyle w:val="a6"/>
          <w:i w:val="0"/>
          <w:sz w:val="24"/>
          <w:szCs w:val="24"/>
          <w:lang w:val="uk-UA"/>
        </w:rPr>
        <w:t>омерційного обліку електричної енергії</w:t>
      </w:r>
      <w:r w:rsidRPr="000D658F">
        <w:rPr>
          <w:rFonts w:ascii="Times New Roman" w:hAnsi="Times New Roman"/>
          <w:sz w:val="24"/>
          <w:szCs w:val="24"/>
          <w:lang w:val="uk-UA"/>
        </w:rPr>
        <w:t>»;</w:t>
      </w:r>
    </w:p>
    <w:p w:rsidR="000D658F" w:rsidRPr="000D658F" w:rsidRDefault="000D658F" w:rsidP="000D658F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 w:eastAsia="ar-SA"/>
        </w:rPr>
        <w:t>Іншими нормативно-правовими актами.</w:t>
      </w:r>
    </w:p>
    <w:p w:rsidR="000D658F" w:rsidRPr="000D658F" w:rsidRDefault="000D658F" w:rsidP="000D658F">
      <w:pPr>
        <w:pStyle w:val="a5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предмету закупівлі, що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закуповується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 повинні відповідати технічним умовам та стандартам, передбаченим законодавством України діючими на період постачання товару. Про що учасник підтверджує шляхом надання листа у довільній формі.</w:t>
      </w:r>
    </w:p>
    <w:p w:rsidR="000D658F" w:rsidRPr="000D658F" w:rsidRDefault="000D658F" w:rsidP="000D65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D658F" w:rsidRPr="000D658F" w:rsidRDefault="000D658F" w:rsidP="000D65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D658F" w:rsidRPr="000D658F" w:rsidRDefault="000D658F" w:rsidP="000D658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658F">
        <w:rPr>
          <w:rFonts w:ascii="Times New Roman" w:hAnsi="Times New Roman"/>
          <w:b/>
          <w:sz w:val="24"/>
          <w:szCs w:val="24"/>
          <w:lang w:val="uk-UA"/>
        </w:rPr>
        <w:t>2. Вимоги щодо якості електричної енергії:</w:t>
      </w:r>
    </w:p>
    <w:p w:rsidR="000D658F" w:rsidRPr="000D658F" w:rsidRDefault="000D658F" w:rsidP="000D658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0D658F" w:rsidRPr="000D658F" w:rsidRDefault="000D658F" w:rsidP="000D658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65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D658F" w:rsidRPr="000D658F" w:rsidRDefault="000D658F" w:rsidP="000D658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 xml:space="preserve">Учасник у складі пропозиції зобов’язаний надати сертифікат якості (відповідності) на електричну енергію, а у випадку </w:t>
      </w:r>
      <w:r w:rsidRPr="000D658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відсутності законодавчої необхідності у сертифікації відповідного товару, або </w:t>
      </w:r>
      <w:r w:rsidRPr="000D658F">
        <w:rPr>
          <w:rFonts w:ascii="Times New Roman" w:hAnsi="Times New Roman"/>
          <w:sz w:val="24"/>
          <w:szCs w:val="24"/>
          <w:lang w:val="uk-UA"/>
        </w:rPr>
        <w:t xml:space="preserve">електрична енергія не підлягає обов’язковій сертифікації, учасники надають  у складі пропозиції відповідний документ (чинний на дату подачі пропозиції), виданий від державного підприємства, що належить до сфери управління Міністерства розвитку економіки, торгівлі та сільського господарства України, </w:t>
      </w:r>
      <w:r w:rsidRPr="000D658F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із зазначенням обставин, що електрична енергія, як товар, не підлягає обов’язковій сертифікації в Україні.</w:t>
      </w:r>
      <w:r w:rsidRPr="000D658F">
        <w:rPr>
          <w:rFonts w:ascii="Times New Roman" w:hAnsi="Times New Roman"/>
          <w:sz w:val="24"/>
          <w:szCs w:val="24"/>
          <w:lang w:val="uk-UA"/>
        </w:rPr>
        <w:t xml:space="preserve"> У такому</w:t>
      </w:r>
      <w:r w:rsidRPr="000D658F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випадку зазначений сертифікат учасником не надається.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Якість електричної енергії - це сукупність властивостей електричної енергії відповідно до встановлених стандартів, які визначають ступінь її придатності для використання за призначення.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 xml:space="preserve">Відповідно до положень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пункту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 11.4.6 глави 11.4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розділу XI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> </w:t>
      </w:r>
      <w:hyperlink r:id="rId6" w:history="1">
        <w:r w:rsidRPr="000D658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Кодексу систем розподілу</w:t>
        </w:r>
      </w:hyperlink>
      <w:r w:rsidRPr="000D658F">
        <w:rPr>
          <w:rFonts w:ascii="Times New Roman" w:hAnsi="Times New Roman"/>
          <w:sz w:val="24"/>
          <w:szCs w:val="24"/>
          <w:lang w:val="uk-UA"/>
        </w:rPr>
        <w:t xml:space="preserve">, затвердженого постановою НКРЕКП від 14.03.2018 № 310 (далі – КСР), 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призначеності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>» (далі – ДСТУ EN 50160:2014).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Основні показники якості електричної енергії визначені у пунктах 11.4.7 – 11.4.12 глави 11.4 розділу XІ КСР.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 xml:space="preserve">Стандартна номінальна напруга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Uн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 для мереж низької напруги загального призначення має значення 220 В між фазним і нульовим проводом або між фазними проводами: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 xml:space="preserve">- для трифазних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чотирипровідних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 мереж: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Uн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 = 220 В між фазним та нульовим проводом;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 xml:space="preserve">- для трифазних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трипровідних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 мереж: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Uн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 = 220 В між фазними проводами.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Зміна напруги не повинна перевищувати ± 10 % від величини номінальної напруги.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Частота напруги електропостачання для мереж низької напруги має бути в межах: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1) для систем, які синхронно приєднані до ОЕС України - 50 Гц ± 1 % протягом 99,5 % часу за рік та 50 Гц + 4 % ( - 6 %) протягом 100 % часу;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2) для систем без синхронного приєднання до ОЕС України - 50 Гц ± 2 % протягом 99,5 % часу за рік та 50 Гц ± 15 % протягом 100 % часу.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 xml:space="preserve">Показник довготривалого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флікера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 (мерехтіння), спричиненого коливанням напруги, для мереж низької напруги має бути меншим або рівним 1 для 95 % часу спостереження.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95 % середньоквадратичних значень складника зворотної послідовності напруги електропостачання, усереднених на 10-хвилинному проміжку, для мереж низької напруги мають бути в межах від 0 % до 2 % від складника напруги прямої послідовності.</w:t>
      </w:r>
    </w:p>
    <w:p w:rsidR="000D658F" w:rsidRPr="000D658F" w:rsidRDefault="000D658F" w:rsidP="000D658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lastRenderedPageBreak/>
        <w:t>95 % середньоквадратичних значень напруги кожної гармоніки, усереднених на 10-хвилинному проміжку, для мереж низької напруги мають бути меншими або рівними наступним значенням: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660"/>
        <w:gridCol w:w="1462"/>
        <w:gridCol w:w="1951"/>
        <w:gridCol w:w="1464"/>
        <w:gridCol w:w="1659"/>
      </w:tblGrid>
      <w:tr w:rsidR="000D658F" w:rsidRPr="000D658F" w:rsidTr="000D658F">
        <w:trPr>
          <w:trHeight w:val="284"/>
        </w:trPr>
        <w:tc>
          <w:tcPr>
            <w:tcW w:w="33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1363"/>
            <w:bookmarkEnd w:id="1"/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Непарні гармоніки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Парні гармоніки</w:t>
            </w:r>
          </w:p>
        </w:tc>
      </w:tr>
      <w:tr w:rsidR="000D658F" w:rsidRPr="000D658F" w:rsidTr="000D658F">
        <w:trPr>
          <w:trHeight w:val="284"/>
        </w:trPr>
        <w:tc>
          <w:tcPr>
            <w:tcW w:w="16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не кратні 3</w:t>
            </w:r>
          </w:p>
        </w:tc>
        <w:tc>
          <w:tcPr>
            <w:tcW w:w="17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кратні 3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658F" w:rsidRPr="000D658F" w:rsidRDefault="000D6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658F" w:rsidRPr="000D658F" w:rsidTr="000D658F">
        <w:trPr>
          <w:trHeight w:val="284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порядок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відносна амплітуда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порядок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відносна амплітуда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порядок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відносна амплітуда</w:t>
            </w:r>
          </w:p>
        </w:tc>
      </w:tr>
      <w:tr w:rsidR="000D658F" w:rsidRPr="000D658F" w:rsidTr="000D658F">
        <w:trPr>
          <w:trHeight w:val="284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6,0 %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5,0 %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2,0 %</w:t>
            </w:r>
          </w:p>
        </w:tc>
      </w:tr>
      <w:tr w:rsidR="000D658F" w:rsidRPr="000D658F" w:rsidTr="000D658F">
        <w:trPr>
          <w:trHeight w:val="284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5,0 %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1,5 %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1,0 %</w:t>
            </w:r>
          </w:p>
        </w:tc>
      </w:tr>
      <w:tr w:rsidR="000D658F" w:rsidRPr="000D658F" w:rsidTr="000D658F">
        <w:trPr>
          <w:trHeight w:val="284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3,5 %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1,5 %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6…24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0,5 %</w:t>
            </w:r>
          </w:p>
        </w:tc>
      </w:tr>
      <w:tr w:rsidR="000D658F" w:rsidRPr="000D658F" w:rsidTr="000D658F">
        <w:trPr>
          <w:trHeight w:val="284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3,0 %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0,5 %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658F" w:rsidRPr="000D658F" w:rsidTr="000D658F">
        <w:trPr>
          <w:trHeight w:val="284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2,0 %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658F" w:rsidRPr="000D658F" w:rsidTr="000D658F">
        <w:trPr>
          <w:trHeight w:val="284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1,5 %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658F" w:rsidRPr="000D658F" w:rsidTr="000D658F">
        <w:trPr>
          <w:trHeight w:val="284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1,5 %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658F" w:rsidRPr="000D658F" w:rsidTr="000D658F">
        <w:trPr>
          <w:trHeight w:val="284"/>
        </w:trPr>
        <w:tc>
          <w:tcPr>
            <w:tcW w:w="7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D658F" w:rsidRPr="000D658F" w:rsidRDefault="000D65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58F">
              <w:rPr>
                <w:rFonts w:ascii="Times New Roman" w:hAnsi="Times New Roman"/>
                <w:sz w:val="24"/>
                <w:szCs w:val="24"/>
                <w:lang w:val="uk-UA"/>
              </w:rPr>
              <w:t>1,5 %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658F" w:rsidRPr="000D658F" w:rsidRDefault="000D6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D658F" w:rsidRPr="000D658F" w:rsidRDefault="000D658F" w:rsidP="000D65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 xml:space="preserve">Якщо учасник закупівлі є виробником продукції, що складає предмет закупівлі, такий учасник зобов’язаний надати документальне підтвердження державної реєстрації його потужностей виробництва, з зазначенням їх місце розташування та легалізації згідно чинного законодавства (об’єктів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електрогенерації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). У випадку, якщо учасник не є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електрогенеруючою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 компанією, він зобов’язаний окремою довідкою у довільній формі повідомити про статус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електропостачальника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 без можливості здійснювати </w:t>
      </w:r>
      <w:proofErr w:type="spellStart"/>
      <w:r w:rsidRPr="000D658F">
        <w:rPr>
          <w:rFonts w:ascii="Times New Roman" w:hAnsi="Times New Roman"/>
          <w:sz w:val="24"/>
          <w:szCs w:val="24"/>
          <w:lang w:val="uk-UA"/>
        </w:rPr>
        <w:t>електрогенерацію</w:t>
      </w:r>
      <w:proofErr w:type="spellEnd"/>
      <w:r w:rsidRPr="000D658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D658F" w:rsidRPr="000D658F" w:rsidRDefault="000D658F" w:rsidP="000D658F">
      <w:pPr>
        <w:pStyle w:val="Iauiue1"/>
        <w:ind w:firstLine="426"/>
        <w:jc w:val="both"/>
        <w:rPr>
          <w:sz w:val="24"/>
          <w:szCs w:val="24"/>
        </w:rPr>
      </w:pPr>
      <w:r w:rsidRPr="000D658F">
        <w:rPr>
          <w:sz w:val="24"/>
          <w:szCs w:val="24"/>
        </w:rPr>
        <w:t>Учасник надає лист-</w:t>
      </w:r>
      <w:r w:rsidRPr="000D658F">
        <w:rPr>
          <w:sz w:val="24"/>
          <w:szCs w:val="24"/>
          <w:lang w:bidi="ar-SA"/>
        </w:rPr>
        <w:t xml:space="preserve">згоду </w:t>
      </w:r>
      <w:r w:rsidRPr="000D658F">
        <w:rPr>
          <w:sz w:val="24"/>
          <w:szCs w:val="24"/>
        </w:rPr>
        <w:t>(у довільній формі) щодо застосування заходів із захисту довкілля стосовно технічних, якісних характеристик предмета закупівлі.</w:t>
      </w:r>
    </w:p>
    <w:p w:rsidR="000D658F" w:rsidRPr="000D658F" w:rsidRDefault="000D658F" w:rsidP="000D658F">
      <w:pPr>
        <w:pStyle w:val="a5"/>
        <w:spacing w:after="0" w:line="240" w:lineRule="auto"/>
        <w:ind w:left="0" w:firstLine="388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Окрім цього, учасники повинні надати опис планованих заходів захисту довкілля та навколишнього середовища, а також надати документальне підтвердження визнання уповноваженими державними органами, експертними організаціями або екологічними аудиторами відповідності учасника вимогам екологічного законодавства.</w:t>
      </w:r>
    </w:p>
    <w:p w:rsidR="000D658F" w:rsidRPr="000D658F" w:rsidRDefault="000D658F" w:rsidP="000D658F">
      <w:pPr>
        <w:pStyle w:val="a5"/>
        <w:spacing w:after="0" w:line="240" w:lineRule="auto"/>
        <w:ind w:left="0" w:firstLine="38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Для цього учасники у складі тендерної пропозиції повинні надати довідку від екологічного аудитора, що містить опис заходів</w:t>
      </w:r>
      <w:r w:rsidRPr="000D658F">
        <w:rPr>
          <w:rFonts w:ascii="Times New Roman" w:hAnsi="Times New Roman"/>
          <w:sz w:val="24"/>
          <w:szCs w:val="24"/>
          <w:lang w:val="uk-UA" w:eastAsia="ar-SA"/>
        </w:rPr>
        <w:t>, які впроваджує учасник при реалізації програми із захисту довкілля та навколишнього середовища, та короткий</w:t>
      </w:r>
      <w:r w:rsidRPr="000D658F">
        <w:rPr>
          <w:rFonts w:ascii="Times New Roman" w:hAnsi="Times New Roman"/>
          <w:sz w:val="24"/>
          <w:szCs w:val="24"/>
          <w:lang w:val="uk-UA"/>
        </w:rPr>
        <w:t xml:space="preserve"> звіт з екологічного аудиту учасника закупівлі з позитивним висновком, та з відповідними сертифікатами від Міністерства екології та природних ресурсів України, що засвідчують кваліфікацію органу/особи, що здійснював екологічний аудит учасника.</w:t>
      </w:r>
    </w:p>
    <w:p w:rsidR="000D658F" w:rsidRPr="000D658F" w:rsidRDefault="000D658F" w:rsidP="000D65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 xml:space="preserve">Система управління діяльністю учасника з постачання електричної енергії повинна відповідати вимогам стандартів системи управління ISO 9001:2015 (або еквівалент). Сфера сертифікації – торгівля електроенергією. На підтвердження учасник у складі пропозиції повинен надати сертифікат системи управління якістю ДСТУ ISO 9001:2015, виданий на ім’я учасника та діючий на дату подання пропозиції. </w:t>
      </w:r>
    </w:p>
    <w:p w:rsidR="000D658F" w:rsidRPr="000D658F" w:rsidRDefault="000D658F" w:rsidP="000D65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Обсяги споживання електроенергії можуть змінюватися в залежності від режиму роботи устаткування та обладнання Замовника.</w:t>
      </w:r>
    </w:p>
    <w:p w:rsidR="000D658F" w:rsidRDefault="000D658F" w:rsidP="000D658F">
      <w:pPr>
        <w:pStyle w:val="Iauiue1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Учасник надає підтвердження про укладання договорів з о</w:t>
      </w:r>
      <w:r>
        <w:rPr>
          <w:bCs/>
          <w:sz w:val="24"/>
          <w:szCs w:val="24"/>
        </w:rPr>
        <w:t>ператорами систем розподілу на території Рівненської області, якими здійснюється розподіл електричної енергії на об’єкти замовника.</w:t>
      </w:r>
    </w:p>
    <w:p w:rsidR="000D658F" w:rsidRPr="000D658F" w:rsidRDefault="000D658F" w:rsidP="000D658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D658F">
        <w:rPr>
          <w:rFonts w:ascii="Times New Roman" w:hAnsi="Times New Roman"/>
          <w:sz w:val="24"/>
          <w:szCs w:val="24"/>
          <w:lang w:val="uk-UA"/>
        </w:rPr>
        <w:t>Учасник повинен надати підтвердження щодо наявності в Учасника укладених усіх необхідних договорів, передбачених Законом України «Про ринок електричної енергії» від 13.04.2017 №2019-</w:t>
      </w:r>
      <w:r>
        <w:rPr>
          <w:rFonts w:ascii="Times New Roman" w:hAnsi="Times New Roman"/>
          <w:sz w:val="24"/>
          <w:szCs w:val="24"/>
        </w:rPr>
        <w:t>VIII</w:t>
      </w:r>
      <w:r w:rsidRPr="000D658F">
        <w:rPr>
          <w:rFonts w:ascii="Times New Roman" w:hAnsi="Times New Roman"/>
          <w:sz w:val="24"/>
          <w:szCs w:val="24"/>
          <w:lang w:val="uk-UA"/>
        </w:rPr>
        <w:t xml:space="preserve"> для забезпечення безперебійного енергопостачання об'єктів Замовника, завірений підписом уповноваженої особи та печаткою підприємства (вимога щодо печатки не стосується учасників, які здійснюють діяльність без печатки згідно діючого законодавства).</w:t>
      </w:r>
    </w:p>
    <w:p w:rsidR="000D658F" w:rsidRDefault="000D658F" w:rsidP="000D658F">
      <w:pPr>
        <w:pStyle w:val="Iauiue1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Постачальник повинен бути включений до переліку суб'єктів господарської діяльності, які мають ліцензії з постачання електричної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послуг, на підтвердження цього факту Учасник надає лист, у якому </w:t>
      </w:r>
      <w:r>
        <w:rPr>
          <w:color w:val="000000"/>
          <w:sz w:val="24"/>
          <w:szCs w:val="24"/>
        </w:rPr>
        <w:lastRenderedPageBreak/>
        <w:t xml:space="preserve">зазначається: номер, дата та назва постанови Національної комісії, що здійснює державне регулювання у сферах енергетики та комунальних послуг щодо надання відповідної ліцензій, а також посилання на </w:t>
      </w:r>
      <w:proofErr w:type="spellStart"/>
      <w:r>
        <w:rPr>
          <w:color w:val="000000"/>
          <w:sz w:val="24"/>
          <w:szCs w:val="24"/>
        </w:rPr>
        <w:t>веб-сторінку</w:t>
      </w:r>
      <w:proofErr w:type="spellEnd"/>
      <w:r>
        <w:rPr>
          <w:color w:val="000000"/>
          <w:sz w:val="24"/>
          <w:szCs w:val="24"/>
        </w:rPr>
        <w:t>, де розміщений перелік суб'єктів господарської діяльності, які мають ліцензії з постачання електричної енергії, на офіційному веб-сайті НКРЕКП.</w:t>
      </w:r>
    </w:p>
    <w:p w:rsidR="000D658F" w:rsidRDefault="000D658F" w:rsidP="000D658F">
      <w:pPr>
        <w:pStyle w:val="Iauiue1"/>
        <w:ind w:firstLine="425"/>
        <w:jc w:val="both"/>
        <w:rPr>
          <w:sz w:val="24"/>
          <w:szCs w:val="24"/>
        </w:rPr>
      </w:pPr>
    </w:p>
    <w:p w:rsidR="000D658F" w:rsidRPr="000D658F" w:rsidRDefault="000D658F" w:rsidP="000D658F">
      <w:pPr>
        <w:spacing w:after="0" w:line="240" w:lineRule="auto"/>
        <w:jc w:val="center"/>
        <w:rPr>
          <w:b/>
          <w:lang w:val="uk-UA"/>
        </w:rPr>
      </w:pPr>
    </w:p>
    <w:sectPr w:rsidR="000D658F" w:rsidRPr="000D6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2E74"/>
    <w:multiLevelType w:val="hybridMultilevel"/>
    <w:tmpl w:val="949210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2C29FD"/>
    <w:multiLevelType w:val="hybridMultilevel"/>
    <w:tmpl w:val="9BCC8470"/>
    <w:lvl w:ilvl="0" w:tplc="7C7E4D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0D658F"/>
    <w:rsid w:val="00164AD6"/>
    <w:rsid w:val="003D7251"/>
    <w:rsid w:val="005D253C"/>
    <w:rsid w:val="00A66C59"/>
    <w:rsid w:val="00BD45FD"/>
    <w:rsid w:val="00C71BFB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58F"/>
    <w:rPr>
      <w:color w:val="0000FF" w:themeColor="hyperlink"/>
      <w:u w:val="single"/>
    </w:rPr>
  </w:style>
  <w:style w:type="character" w:customStyle="1" w:styleId="a4">
    <w:name w:val="Абзац списка Знак"/>
    <w:aliases w:val="Details Знак"/>
    <w:link w:val="a5"/>
    <w:uiPriority w:val="34"/>
    <w:locked/>
    <w:rsid w:val="000D658F"/>
    <w:rPr>
      <w:rFonts w:ascii="Calibri" w:eastAsia="Calibri" w:hAnsi="Calibri" w:cs="Calibri"/>
      <w:lang w:val="ru-RU"/>
    </w:rPr>
  </w:style>
  <w:style w:type="paragraph" w:styleId="a5">
    <w:name w:val="List Paragraph"/>
    <w:aliases w:val="Details"/>
    <w:basedOn w:val="a"/>
    <w:link w:val="a4"/>
    <w:uiPriority w:val="34"/>
    <w:qFormat/>
    <w:rsid w:val="000D658F"/>
    <w:pPr>
      <w:spacing w:after="160" w:line="256" w:lineRule="auto"/>
      <w:ind w:left="720"/>
      <w:contextualSpacing/>
    </w:pPr>
    <w:rPr>
      <w:rFonts w:eastAsia="Calibri" w:cs="Calibri"/>
      <w:lang w:eastAsia="en-US"/>
    </w:rPr>
  </w:style>
  <w:style w:type="paragraph" w:customStyle="1" w:styleId="Iauiue1">
    <w:name w:val="Iau?iue1"/>
    <w:rsid w:val="000D658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styleId="a6">
    <w:name w:val="Emphasis"/>
    <w:basedOn w:val="a0"/>
    <w:uiPriority w:val="20"/>
    <w:qFormat/>
    <w:rsid w:val="000D65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58F"/>
    <w:rPr>
      <w:color w:val="0000FF" w:themeColor="hyperlink"/>
      <w:u w:val="single"/>
    </w:rPr>
  </w:style>
  <w:style w:type="character" w:customStyle="1" w:styleId="a4">
    <w:name w:val="Абзац списка Знак"/>
    <w:aliases w:val="Details Знак"/>
    <w:link w:val="a5"/>
    <w:uiPriority w:val="34"/>
    <w:locked/>
    <w:rsid w:val="000D658F"/>
    <w:rPr>
      <w:rFonts w:ascii="Calibri" w:eastAsia="Calibri" w:hAnsi="Calibri" w:cs="Calibri"/>
      <w:lang w:val="ru-RU"/>
    </w:rPr>
  </w:style>
  <w:style w:type="paragraph" w:styleId="a5">
    <w:name w:val="List Paragraph"/>
    <w:aliases w:val="Details"/>
    <w:basedOn w:val="a"/>
    <w:link w:val="a4"/>
    <w:uiPriority w:val="34"/>
    <w:qFormat/>
    <w:rsid w:val="000D658F"/>
    <w:pPr>
      <w:spacing w:after="160" w:line="256" w:lineRule="auto"/>
      <w:ind w:left="720"/>
      <w:contextualSpacing/>
    </w:pPr>
    <w:rPr>
      <w:rFonts w:eastAsia="Calibri" w:cs="Calibri"/>
      <w:lang w:eastAsia="en-US"/>
    </w:rPr>
  </w:style>
  <w:style w:type="paragraph" w:customStyle="1" w:styleId="Iauiue1">
    <w:name w:val="Iau?iue1"/>
    <w:rsid w:val="000D658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styleId="a6">
    <w:name w:val="Emphasis"/>
    <w:basedOn w:val="a0"/>
    <w:uiPriority w:val="20"/>
    <w:qFormat/>
    <w:rsid w:val="000D6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v031087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9096</Words>
  <Characters>5185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2023-10-06T09:23:00Z</dcterms:created>
  <dcterms:modified xsi:type="dcterms:W3CDTF">2023-10-18T09:00:00Z</dcterms:modified>
</cp:coreProperties>
</file>