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</w:rPr>
        <w:drawing>
          <wp:inline distB="0" distT="0" distL="114300" distR="114300">
            <wp:extent cx="70104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(Восьме скликання)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6"/>
          <w:szCs w:val="26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right" w:leader="none" w:pos="2879"/>
              </w:tabs>
              <w:spacing w:line="259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26 вересня 2025 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59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№ 101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59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   затвердження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висновоку   щодо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доцільності позбавлення батьківських прав 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гр. Світіна Миколу Миколайовича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25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ст.ст.11, 12, 15 Закону України «Про охорону дитинства», ст.ст.19,150,164, 165, 180 Сімейного кодексу України,  постанови Кабінету Міністрів України від 24.09.2008 р. № 866 «Питання діяльності органів опіки та піклування, пов’язані із захистом прав дітей»,  ст. 34 Закону України «Про місцеве самоврядування в Україні», враховуючи висновки комісії з питань захисту прав дитини від 18.11.2024 року та матеріалів, що надійшли до служби у справах дітей Варковицької сільської ради,   виконком Варковицької сільської ради                                     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В: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59" w:lineRule="auto"/>
        <w:ind w:left="360"/>
        <w:jc w:val="both"/>
        <w:rPr>
          <w:rFonts w:ascii="Times New Roman" w:cs="Times New Roman" w:eastAsia="Times New Roman" w:hAnsi="Times New Roman"/>
          <w:color w:val="21252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Затвердити   висновок    про доцільність позбавлення батьківських прав гр. Світіна Миколу Миколайовича 17.02.1979 р.н. по   відношенню   до  його малолітніх дітей: Світіна Віталія Миколайовича, 15.10.2012 р.н, Світіної Тетяни Миколаївни, 25.06.2014 р.н., Світіна Богдана Миколайовича, 21.08.2016 р.н.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8"/>
          <w:szCs w:val="28"/>
          <w:rtl w:val="0"/>
        </w:rPr>
        <w:t xml:space="preserve">Контроль за виконанням даного рішення залишаю за собою.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28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голова                                                  Юрій ПАРФЕНЮК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