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5485" cy="914400"/>
            <wp:effectExtent b="0" l="0" r="0" t="0"/>
            <wp:docPr id="102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center" w:leader="none" w:pos="4677"/>
          <w:tab w:val="left" w:leader="none" w:pos="8028"/>
        </w:tabs>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5">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четверта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6">
      <w:pPr>
        <w:spacing w:after="20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11  грудня  2024року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6"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26"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8">
            <w:pPr>
              <w:widowControl w:val="0"/>
              <w:tabs>
                <w:tab w:val="left" w:leader="none" w:pos="4680"/>
                <w:tab w:val="left" w:leader="none" w:pos="6804"/>
              </w:tabs>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9">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№1522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7"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w:t>
        <w:br w:type="textWrapping"/>
        <w:t xml:space="preserve">із землеустрою  гр..Сидорчук Г.А.,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громадянки Сидорчук Ганни Андріївни жительки с.Варковичі вул. Лесі Українки, 63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с.Варковичі вул. Лесі Українки, 63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Затвердити технічну документацію із землеустрою щодо встановлення (відновлення) меж земельної ділянки в натурі (на місцевості), громадянки Сидорчук Ганни Андріївни для будівництва та обслуговування житлового будинку господарських будівель і споруд (присадибна ділянка) площею 0,1588га., кадастровий номер 5621680800:05:003:0327, за рахунок земель житлової та громадської забудови, яка розташована в межах с.Варковичі вул. Лесі Українки, 63 на території Варковицької сільської ради Дубенського району Рівненської області.                  </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Передати громадянці Сидорчук Ганні Андріївні у власність земельну ділянку для будівництва та обслуговування житлового будинку господарських будівель і споруд (присадибна ділянка) площею 0,1588га., кадастровий номер 5621680800:05:003:0327 за рахунок земель житлової та громадської забудови, яка розташована  в межах с.Варковичі вул. Лесі Українки, 63 на території Варковицької сільської ради Дубенського району Рівненської області.</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Громадянці Сидорчук Ганні Андріївні оформити право власності на земельну ділянку в порядку визначеному законодавством. </w:t>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after="160" w:line="259" w:lineRule="auto"/>
        <w:ind w:right="-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w:t>
        <w:tab/>
        <w:tab/>
        <w:tab/>
        <w:tab/>
        <w:tab/>
        <w:tab/>
        <w:t xml:space="preserve">Юрій ПАРФЕНЮК</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850" w:top="85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s19yxbTupIzHBjlYAjQ0WGepww==">CgMxLjA4AHIhMVlMLTRuYTZ4bDAxcmhOSUNWNnZOTlFYTlVDUVRES2RS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2024-12-12T11:00:00Z</dcterms:created>
  <dc:creator>user</dc:creator>
</cp:coreProperties>
</file>