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 xml:space="preserve">        </w:t>
      </w:r>
      <w:r w:rsidDel="00000000" w:rsidR="00000000" w:rsidRPr="00000000">
        <w:rPr>
          <w:rFonts w:ascii="Times New Roman" w:cs="Times New Roman" w:eastAsia="Times New Roman" w:hAnsi="Times New Roman"/>
          <w:sz w:val="24"/>
          <w:szCs w:val="24"/>
        </w:rPr>
        <w:drawing>
          <wp:inline distB="0" distT="0" distL="114300" distR="114300">
            <wp:extent cx="419100" cy="532765"/>
            <wp:effectExtent b="0" l="0" r="0" t="0"/>
            <wp:docPr descr="gerb" id="1035" name="image2.png"/>
            <a:graphic>
              <a:graphicData uri="http://schemas.openxmlformats.org/drawingml/2006/picture">
                <pic:pic>
                  <pic:nvPicPr>
                    <pic:cNvPr descr="gerb" id="0" name="image2.png"/>
                    <pic:cNvPicPr preferRelativeResize="0"/>
                  </pic:nvPicPr>
                  <pic:blipFill>
                    <a:blip r:embed="rId7"/>
                    <a:srcRect b="0" l="0" r="0" t="0"/>
                    <a:stretch>
                      <a:fillRect/>
                    </a:stretch>
                  </pic:blipFill>
                  <pic:spPr>
                    <a:xfrm>
                      <a:off x="0" y="0"/>
                      <a:ext cx="419100" cy="53276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5">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перша сесія )</w:t>
      </w:r>
    </w:p>
    <w:p w:rsidR="00000000" w:rsidDel="00000000" w:rsidP="00000000" w:rsidRDefault="00000000" w:rsidRPr="00000000" w14:paraId="00000006">
      <w:pPr>
        <w:tabs>
          <w:tab w:val="left" w:leader="none" w:pos="3285"/>
          <w:tab w:val="left" w:leader="none" w:pos="584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tl w:val="0"/>
        </w:rPr>
      </w:r>
    </w:p>
    <w:p w:rsidR="00000000" w:rsidDel="00000000" w:rsidP="00000000" w:rsidRDefault="00000000" w:rsidRPr="00000000" w14:paraId="00000007">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 І Ш Е Н Н Я</w:t>
      </w:r>
      <w:r w:rsidDel="00000000" w:rsidR="00000000" w:rsidRPr="00000000">
        <w:rPr>
          <w:rtl w:val="0"/>
        </w:rPr>
      </w:r>
    </w:p>
    <w:p w:rsidR="00000000" w:rsidDel="00000000" w:rsidP="00000000" w:rsidRDefault="00000000" w:rsidRPr="00000000" w14:paraId="00000008">
      <w:pPr>
        <w:tabs>
          <w:tab w:val="left" w:leader="none" w:pos="778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9">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червня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A">
            <w:pPr>
              <w:widowControl w:val="0"/>
              <w:tabs>
                <w:tab w:val="left" w:leader="none" w:pos="4680"/>
                <w:tab w:val="left" w:leader="none" w:pos="6804"/>
              </w:tabs>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B">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1692</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right="45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технічної документації із землеустрою щодо поділу та об’єднання земельної   ділянки комунальної власності</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tabs>
          <w:tab w:val="left" w:leader="none" w:pos="567"/>
          <w:tab w:val="left" w:leader="none" w:pos="720"/>
        </w:tabs>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технічну документацію із землеустрою щодо поділу  та об’єднання земельної  ділянки, відповідно до ст.ст. 12, 125, 126, 186 Земельного кодексу України, ст. 56 Закону України «Про землеустрій», враховуючи рекомендації постійної  комісії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керуючись п. 34  ст. 26 Закону України «Про місцеве самоврядування в Україні», сільська рада </w:t>
      </w:r>
    </w:p>
    <w:p w:rsidR="00000000" w:rsidDel="00000000" w:rsidP="00000000" w:rsidRDefault="00000000" w:rsidRPr="00000000" w14:paraId="00000010">
      <w:pPr>
        <w:tabs>
          <w:tab w:val="left" w:leader="none" w:pos="567"/>
          <w:tab w:val="left" w:leader="none" w:pos="720"/>
        </w:tabs>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w:t>
      </w:r>
    </w:p>
    <w:p w:rsidR="00000000" w:rsidDel="00000000" w:rsidP="00000000" w:rsidRDefault="00000000" w:rsidRPr="00000000" w14:paraId="00000012">
      <w:pPr>
        <w:tabs>
          <w:tab w:val="left" w:leader="none" w:pos="709"/>
        </w:tabs>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Затвердити технічну документацію із землеустрою щодо утворених в результаті поділу земельної ділянки комунальної власності сільськогосподарського призначення, загальною площею 6,5770га з кадастровим номером  5621684700:06:006:0032, що розташована за межами населеного пункту с. Озеряни на території Варковицької сільської ради Дубенського району Рівненської області, на земельні ділянки а саме:</w:t>
      </w:r>
    </w:p>
    <w:p w:rsidR="00000000" w:rsidDel="00000000" w:rsidP="00000000" w:rsidRDefault="00000000" w:rsidRPr="00000000" w14:paraId="00000014">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земельну ділянку комунальної власності сільськогосподарського призначення (цільове призначення 01.17 – земельні ділянки запасу (земельні, які не надані у власність або користування громадянами чи юридичними особами ) з кадастровим номером 5621684700:06:006:0039, площею 0,0196 га; </w:t>
      </w:r>
    </w:p>
    <w:p w:rsidR="00000000" w:rsidDel="00000000" w:rsidP="00000000" w:rsidRDefault="00000000" w:rsidRPr="00000000" w14:paraId="00000015">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земельну ділянку комунальної власності сільськогосподарського призначення (цільове призначення 01.17 – земельні ділянки запасу (земельні, які не надані у власність або користування громадянами чи юридичними особами ) з кадастровим номером, площею 5621684700:06:006:0040площею 6,5574га; </w:t>
      </w:r>
    </w:p>
    <w:p w:rsidR="00000000" w:rsidDel="00000000" w:rsidP="00000000" w:rsidRDefault="00000000" w:rsidRPr="00000000" w14:paraId="00000016">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Варковицькій сільській раді здійснити державну реєстрацію права  власності  на утворені в результаті поділу земельні ділянки.</w:t>
      </w:r>
    </w:p>
    <w:p w:rsidR="00000000" w:rsidDel="00000000" w:rsidP="00000000" w:rsidRDefault="00000000" w:rsidRPr="00000000" w14:paraId="00000017">
      <w:pPr>
        <w:tabs>
          <w:tab w:val="left" w:leader="none" w:pos="720"/>
        </w:tabs>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Контроль за виконанням даного рішення покласти на комісію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Варковицької сільської ради Дубенського району.</w:t>
      </w:r>
    </w:p>
    <w:p w:rsidR="00000000" w:rsidDel="00000000" w:rsidP="00000000" w:rsidRDefault="00000000" w:rsidRPr="00000000" w14:paraId="00000018">
      <w:pPr>
        <w:tabs>
          <w:tab w:val="left" w:leader="none" w:pos="567"/>
          <w:tab w:val="left" w:leader="none" w:pos="709"/>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bookmarkStart w:colFirst="0" w:colLast="0" w:name="_heading=h.u904cvhepra" w:id="0"/>
      <w:bookmarkEnd w:id="0"/>
      <w:r w:rsidDel="00000000" w:rsidR="00000000" w:rsidRPr="00000000">
        <w:rPr>
          <w:rFonts w:ascii="Times New Roman" w:cs="Times New Roman" w:eastAsia="Times New Roman" w:hAnsi="Times New Roman"/>
          <w:sz w:val="24"/>
          <w:szCs w:val="24"/>
          <w:rtl w:val="0"/>
        </w:rPr>
        <w:t xml:space="preserve">Сільський голова                                                  Юрій  ПАРФЕНЮК</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567" w:top="284"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WgJYxjuDN1gZQX6KRgR80V0xXg==">CgMxLjAyDWgudTkwNGN2aGVwcmE4AHIhMTVKVXpONGlfUVFRd3BCZFBkeG9Ma0pMQzFiMHM1LXIy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